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color w:val="0F3460"/>
          <w:sz w:val="32"/>
        </w:rPr>
        <w:t>EU DECLARATION OF CONFORMITY</w:t>
      </w:r>
    </w:p>
    <w:p>
      <w:pPr>
        <w:spacing w:after="200" w:before="0"/>
        <w:jc w:val="center"/>
      </w:pPr>
      <w:r>
        <w:rPr>
          <w:b w:val="0"/>
          <w:i w:val="0"/>
          <w:color w:val="636E72"/>
          <w:sz w:val="19"/>
        </w:rPr>
        <w:t>Regulation (EU) 2025/40 on packaging and packaging waste (PPWR), Article 39 and Annex VIII</w:t>
      </w:r>
    </w:p>
    <w:p>
      <w:pPr>
        <w:spacing w:after="40" w:before="0"/>
      </w:pPr>
      <w:r>
        <w:rPr>
          <w:b/>
          <w:i w:val="0"/>
          <w:sz w:val="22"/>
        </w:rPr>
        <w:t>EU declaration of conformity No ______________________</w:t>
      </w:r>
    </w:p>
    <w:p>
      <w:pPr>
        <w:spacing w:after="80" w:before="0"/>
      </w:pPr>
      <w:r>
        <w:rPr>
          <w:b w:val="0"/>
          <w:i/>
          <w:color w:val="636E72"/>
          <w:sz w:val="18"/>
        </w:rPr>
        <w:t>Identification number of the declaration (your own numbering, e.g. DoC-PPWR-2026-001). One declaration per packaging type; every revision gets a new number or version.</w:t>
      </w:r>
    </w:p>
    <w:p>
      <w:pPr>
        <w:spacing w:before="120" w:after="40"/>
      </w:pPr>
      <w:r>
        <w:rPr>
          <w:b/>
        </w:rPr>
        <w:t xml:space="preserve">1. </w:t>
      </w:r>
      <w:r>
        <w:rPr>
          <w:b/>
        </w:rPr>
        <w:t>No … (unique identification of the packaging):</w:t>
      </w:r>
    </w:p>
    <w:p>
      <w:pPr>
        <w:spacing w:after="80" w:before="0"/>
      </w:pPr>
      <w:r>
        <w:rPr>
          <w:b w:val="0"/>
          <w:i/>
          <w:color w:val="636E72"/>
          <w:sz w:val="18"/>
        </w:rPr>
        <w:t>Internal reference, SKU, model or batch/type number that lets an authority trace this exact packaging type. Example: "Transport box TB-240, version 1.2, corrugated board B-flute, 400 × 300 × 200 mm".</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2. </w:t>
      </w:r>
      <w:r>
        <w:rPr>
          <w:b/>
        </w:rPr>
        <w:t>Name and address of the manufacturer and, where applicable, the manufacturer’s authorised representative:</w:t>
      </w:r>
    </w:p>
    <w:p>
      <w:pPr>
        <w:spacing w:after="80" w:before="0"/>
      </w:pPr>
      <w:r>
        <w:rPr>
          <w:b w:val="0"/>
          <w:i/>
          <w:color w:val="636E72"/>
          <w:sz w:val="18"/>
        </w:rPr>
        <w:t>The manufacturer within the meaning of Article 3(13): the legal entity that makes the packaging, or has it designed or made under its own name or trademark. Not the "producer" of the extended producer responsibility scheme (Article 3(15)). Full legal name and registered address; add the authorised representative (Article 17) only if one has been appointed in writing.</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3. </w:t>
      </w:r>
      <w:r>
        <w:rPr>
          <w:b/>
        </w:rPr>
        <w:t>This declaration of conformity is issued under the sole responsibility of the manufacturer.</w:t>
      </w:r>
    </w:p>
    <w:p>
      <w:pPr>
        <w:spacing w:after="80" w:before="0"/>
      </w:pPr>
      <w:r>
        <w:rPr>
          <w:b w:val="0"/>
          <w:i/>
          <w:color w:val="636E72"/>
          <w:sz w:val="18"/>
        </w:rPr>
        <w:t>Mandatory statement, keep the wording as it stands. Nothing to fill in.</w:t>
      </w:r>
    </w:p>
    <w:p>
      <w:pPr>
        <w:spacing w:before="120" w:after="40"/>
      </w:pPr>
      <w:r>
        <w:rPr>
          <w:b/>
        </w:rPr>
        <w:t xml:space="preserve">4. </w:t>
      </w:r>
      <w:r>
        <w:rPr>
          <w:b/>
        </w:rPr>
        <w:t>Object of the declaration (identification of the packaging allowing traceability):</w:t>
      </w:r>
    </w:p>
    <w:p>
      <w:pPr>
        <w:spacing w:after="80" w:before="0"/>
      </w:pPr>
      <w:r>
        <w:rPr>
          <w:b w:val="0"/>
          <w:i/>
          <w:color w:val="636E72"/>
          <w:sz w:val="18"/>
        </w:rPr>
        <w:t>Description of the packaging: type (primary, secondary, transport), materials layer by layer, dimensions, weight, printing and closures if relevant, and a reference to drawings or photographs kept in the Annex VII technical file.</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5. </w:t>
      </w:r>
      <w:r>
        <w:rPr>
          <w:b/>
        </w:rPr>
        <w:t>The object of the declaration referred to in point 4 is in conformity with the relevant Union harmonisation legislation:</w:t>
      </w:r>
    </w:p>
    <w:p>
      <w:pPr>
        <w:spacing w:after="80" w:before="0"/>
      </w:pPr>
      <w:r>
        <w:rPr>
          <w:b w:val="0"/>
          <w:i/>
          <w:color w:val="636E72"/>
          <w:sz w:val="18"/>
        </w:rPr>
        <w:t>Cite Regulation (EU) 2025/40 and name the requirements of Articles 5 to 12 that apply on the date the packaging is placed on the market. On 12 August 2026 these are essentially Article 5 (substances, heavy metals, PFAS in food-contact packaging), Article 10(2) (no double walls, false bottoms or unnecessary layers) and, where relevant, Article 11 (reusable packaging). See the table on the next page. Then add "… (reference to the other Union acts applied)", for example food-contact legislation, if any.</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6. </w:t>
      </w:r>
      <w:r>
        <w:rPr>
          <w:b/>
        </w:rPr>
        <w:t>References to the relevant harmonised standards or the common specifications used or references to the other technical specifications in relation to which conformity is declared:</w:t>
      </w:r>
    </w:p>
    <w:p>
      <w:pPr>
        <w:spacing w:after="80" w:before="0"/>
      </w:pPr>
      <w:r>
        <w:rPr>
          <w:b w:val="0"/>
          <w:i/>
          <w:color w:val="636E72"/>
          <w:sz w:val="18"/>
        </w:rPr>
        <w:t>List the standards, common specifications or test methods your conformity assessment relied on (e.g. EN 13427:2004, EN 13430:2004, or the test methods used for heavy metals and PFAS). If none, write "None".</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7. </w:t>
      </w:r>
      <w:r>
        <w:rPr>
          <w:b/>
        </w:rPr>
        <w:t>Where applicable, the notified body … (name, address, number) … performed … (description of intervention) … and issued the certificate(s): … (details, including the date of the certificate(s), and, where appropriate, information on the duration and conditions of validity).</w:t>
      </w:r>
    </w:p>
    <w:p>
      <w:pPr>
        <w:spacing w:after="80" w:before="0"/>
      </w:pPr>
      <w:r>
        <w:rPr>
          <w:b w:val="0"/>
          <w:i/>
          <w:color w:val="636E72"/>
          <w:sz w:val="18"/>
        </w:rPr>
        <w:t>Packaging follows Module A (internal production control, Annex VII): no notified body is involved. In practice write "Not applicable".</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8. </w:t>
      </w:r>
      <w:r>
        <w:rPr>
          <w:b/>
        </w:rPr>
        <w:t>Additional information:</w:t>
      </w:r>
    </w:p>
    <w:p>
      <w:pPr>
        <w:spacing w:after="80" w:before="0"/>
      </w:pPr>
      <w:r>
        <w:rPr>
          <w:b w:val="0"/>
          <w:i/>
          <w:color w:val="636E72"/>
          <w:sz w:val="18"/>
        </w:rPr>
        <w:t>Optional. Typical entries: version of the technical file, retention period applied (5 years for single-use, 10 years for reusable packaging, Article 15(3)), the Member State languages in which the declaration is available (Article 39(2)).</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after="160" w:before="200"/>
      </w:pPr>
      <w:r>
        <w:rPr>
          <w:b/>
          <w:i w:val="0"/>
        </w:rPr>
        <w:t>Signed for and on behalf of: ______________________________________</w:t>
      </w:r>
    </w:p>
    <w:p>
      <w:pPr>
        <w:spacing w:after="160" w:before="0"/>
      </w:pPr>
      <w:r>
        <w:rPr>
          <w:b w:val="0"/>
          <w:i w:val="0"/>
        </w:rPr>
        <w:t>(place and date of issue): ______________________________________</w:t>
      </w:r>
    </w:p>
    <w:p>
      <w:pPr>
        <w:spacing w:after="160" w:before="0"/>
      </w:pPr>
      <w:r>
        <w:rPr>
          <w:b w:val="0"/>
          <w:i w:val="0"/>
        </w:rPr>
        <w:t>(name, function): ______________________________________</w:t>
      </w:r>
    </w:p>
    <w:p>
      <w:pPr>
        <w:spacing w:after="80" w:before="0"/>
      </w:pPr>
      <w:r>
        <w:rPr>
          <w:b w:val="0"/>
          <w:i w:val="0"/>
        </w:rPr>
        <w:t>(signature): ______________________________________</w:t>
      </w:r>
    </w:p>
    <w:p>
      <w:pPr>
        <w:spacing w:after="80" w:before="0"/>
      </w:pPr>
      <w:r>
        <w:rPr>
          <w:b w:val="0"/>
          <w:i/>
          <w:color w:val="636E72"/>
          <w:sz w:val="18"/>
        </w:rPr>
        <w:t>A person authorised to bind the manufacturer. Name printed, function, handwritten or qualified electronic signature.</w:t>
      </w:r>
    </w:p>
    <w:p>
      <w:r>
        <w:br w:type="page"/>
      </w:r>
    </w:p>
    <w:p>
      <w:pPr>
        <w:spacing w:after="120" w:before="0"/>
      </w:pPr>
      <w:r>
        <w:rPr>
          <w:b/>
          <w:i w:val="0"/>
          <w:color w:val="0F3460"/>
          <w:sz w:val="28"/>
        </w:rPr>
        <w:t>How to complete this template</w:t>
      </w:r>
    </w:p>
    <w:p>
      <w:pPr>
        <w:spacing w:after="120" w:before="0"/>
      </w:pPr>
      <w:r>
        <w:rPr>
          <w:b w:val="0"/>
          <w:i w:val="0"/>
        </w:rPr>
        <w:t>This template reproduces the model structure of Annex VIII of Regulation (EU) 2025/40, the eight numbered points and the signature block. The grey guidance notes are ours, not part of the model: delete them before signing.</w:t>
      </w:r>
    </w:p>
    <w:p>
      <w:pPr>
        <w:spacing w:after="40" w:before="120"/>
      </w:pPr>
      <w:r>
        <w:rPr>
          <w:b/>
          <w:i w:val="0"/>
        </w:rPr>
        <w:t>1. Who signs</w:t>
      </w:r>
    </w:p>
    <w:p>
      <w:pPr>
        <w:spacing w:after="120" w:before="0"/>
      </w:pPr>
      <w:r>
        <w:rPr>
          <w:b w:val="0"/>
          <w:i w:val="0"/>
        </w:rPr>
        <w:t>The manufacturer (Article 3(13)): whoever makes the packaging, or has it designed or made under its own name or trademark. Under Article 15(2) the manufacturer runs the conformity assessment of Article 38, draws up the Annex VII technical documentation, and only then issues this declaration. Importers verify that it exists and keep a copy (Article 18); they do not issue their own. A distributor or importer that markets packaging under its own brand, or modifies it, takes on the manufacturer’s obligations (Article 21).</w:t>
      </w:r>
    </w:p>
    <w:p>
      <w:pPr>
        <w:spacing w:after="40" w:before="120"/>
      </w:pPr>
      <w:r>
        <w:rPr>
          <w:b/>
          <w:i w:val="0"/>
        </w:rPr>
        <w:t>2. Which Articles 5 to 12 requirements apply on the date you sign</w:t>
      </w:r>
    </w:p>
    <w:p>
      <w:pPr>
        <w:spacing w:after="80" w:before="0"/>
      </w:pPr>
      <w:r>
        <w:rPr>
          <w:b w:val="0"/>
          <w:i w:val="0"/>
        </w:rPr>
        <w:t>The Regulation applies from 12 August 2026 (Article 71), but the requirements it refers to are staged. Point 5 should name the requirements that apply on the date the packaging is placed on the market, not the whole range.</w:t>
      </w:r>
    </w:p>
    <w:tbl>
      <w:tblPr>
        <w:tblStyle w:val="TableGrid"/>
        <w:tblW w:type="auto" w:w="0"/>
        <w:tblLook w:firstColumn="1" w:firstRow="1" w:lastColumn="0" w:lastRow="0" w:noHBand="0" w:noVBand="1" w:val="04A0"/>
      </w:tblPr>
      <w:tblGrid>
        <w:gridCol w:w="4873"/>
        <w:gridCol w:w="4873"/>
      </w:tblGrid>
      <w:tr>
        <w:tc>
          <w:tcPr>
            <w:tcW w:type="dxa" w:w="7087"/>
          </w:tcPr>
          <w:p>
            <w:r>
              <w:rPr>
                <w:b/>
                <w:sz w:val="18"/>
              </w:rPr>
              <w:t>Requirement</w:t>
            </w:r>
          </w:p>
        </w:tc>
        <w:tc>
          <w:tcPr>
            <w:tcW w:type="dxa" w:w="2268"/>
          </w:tcPr>
          <w:p>
            <w:r>
              <w:rPr>
                <w:b/>
                <w:sz w:val="18"/>
              </w:rPr>
              <w:t>Applies from</w:t>
            </w:r>
          </w:p>
        </w:tc>
      </w:tr>
      <w:tr>
        <w:tc>
          <w:tcPr>
            <w:tcW w:type="dxa" w:w="7087"/>
          </w:tcPr>
          <w:p>
            <w:r>
              <w:rPr>
                <w:b w:val="0"/>
                <w:sz w:val="18"/>
              </w:rPr>
              <w:t>Substances in packaging, incl. heavy-metal limits and PFAS thresholds for food-contact packaging (Art. 5)</w:t>
            </w:r>
          </w:p>
        </w:tc>
        <w:tc>
          <w:tcPr>
            <w:tcW w:type="dxa" w:w="2268"/>
          </w:tcPr>
          <w:p>
            <w:r>
              <w:rPr>
                <w:b w:val="0"/>
                <w:sz w:val="18"/>
              </w:rPr>
              <w:t>12 August 2026</w:t>
            </w:r>
          </w:p>
        </w:tc>
      </w:tr>
      <w:tr>
        <w:tc>
          <w:tcPr>
            <w:tcW w:type="dxa" w:w="7087"/>
          </w:tcPr>
          <w:p>
            <w:r>
              <w:rPr>
                <w:b w:val="0"/>
                <w:sz w:val="18"/>
              </w:rPr>
              <w:t>No double walls, false bottoms or unnecessary layers (Art. 10(2))</w:t>
            </w:r>
          </w:p>
        </w:tc>
        <w:tc>
          <w:tcPr>
            <w:tcW w:type="dxa" w:w="2268"/>
          </w:tcPr>
          <w:p>
            <w:r>
              <w:rPr>
                <w:b w:val="0"/>
                <w:sz w:val="18"/>
              </w:rPr>
              <w:t>12 August 2026</w:t>
            </w:r>
          </w:p>
        </w:tc>
      </w:tr>
      <w:tr>
        <w:tc>
          <w:tcPr>
            <w:tcW w:type="dxa" w:w="7087"/>
          </w:tcPr>
          <w:p>
            <w:r>
              <w:rPr>
                <w:b w:val="0"/>
                <w:sz w:val="18"/>
              </w:rPr>
              <w:t>Reusable packaging requirements, where relevant (Art. 11)</w:t>
            </w:r>
          </w:p>
        </w:tc>
        <w:tc>
          <w:tcPr>
            <w:tcW w:type="dxa" w:w="2268"/>
          </w:tcPr>
          <w:p>
            <w:r>
              <w:rPr>
                <w:b w:val="0"/>
                <w:sz w:val="18"/>
              </w:rPr>
              <w:t>12 August 2026</w:t>
            </w:r>
          </w:p>
        </w:tc>
      </w:tr>
      <w:tr>
        <w:tc>
          <w:tcPr>
            <w:tcW w:type="dxa" w:w="7087"/>
          </w:tcPr>
          <w:p>
            <w:r>
              <w:rPr>
                <w:b w:val="0"/>
                <w:sz w:val="18"/>
              </w:rPr>
              <w:t>Compostability of the packaging listed in Art. 9(1)</w:t>
            </w:r>
          </w:p>
        </w:tc>
        <w:tc>
          <w:tcPr>
            <w:tcW w:type="dxa" w:w="2268"/>
          </w:tcPr>
          <w:p>
            <w:r>
              <w:rPr>
                <w:b w:val="0"/>
                <w:sz w:val="18"/>
              </w:rPr>
              <w:t>12 February 2028</w:t>
            </w:r>
          </w:p>
        </w:tc>
      </w:tr>
      <w:tr>
        <w:tc>
          <w:tcPr>
            <w:tcW w:type="dxa" w:w="7087"/>
          </w:tcPr>
          <w:p>
            <w:r>
              <w:rPr>
                <w:b w:val="0"/>
                <w:sz w:val="18"/>
              </w:rPr>
              <w:t>Labelling: material composition and sorting (Art. 12)</w:t>
            </w:r>
          </w:p>
        </w:tc>
        <w:tc>
          <w:tcPr>
            <w:tcW w:type="dxa" w:w="2268"/>
          </w:tcPr>
          <w:p>
            <w:r>
              <w:rPr>
                <w:b w:val="0"/>
                <w:sz w:val="18"/>
              </w:rPr>
              <w:t>12 August 2028</w:t>
            </w:r>
          </w:p>
        </w:tc>
      </w:tr>
      <w:tr>
        <w:tc>
          <w:tcPr>
            <w:tcW w:type="dxa" w:w="7087"/>
          </w:tcPr>
          <w:p>
            <w:r>
              <w:rPr>
                <w:b w:val="0"/>
                <w:sz w:val="18"/>
              </w:rPr>
              <w:t>Recyclability: design for recycling, performance grades (Art. 6)</w:t>
            </w:r>
          </w:p>
        </w:tc>
        <w:tc>
          <w:tcPr>
            <w:tcW w:type="dxa" w:w="2268"/>
          </w:tcPr>
          <w:p>
            <w:r>
              <w:rPr>
                <w:b w:val="0"/>
                <w:sz w:val="18"/>
              </w:rPr>
              <w:t>1 January 2030</w:t>
            </w:r>
          </w:p>
        </w:tc>
      </w:tr>
      <w:tr>
        <w:tc>
          <w:tcPr>
            <w:tcW w:type="dxa" w:w="7087"/>
          </w:tcPr>
          <w:p>
            <w:r>
              <w:rPr>
                <w:b w:val="0"/>
                <w:sz w:val="18"/>
              </w:rPr>
              <w:t>Minimum recycled content in plastic packaging (Art. 7)</w:t>
            </w:r>
          </w:p>
        </w:tc>
        <w:tc>
          <w:tcPr>
            <w:tcW w:type="dxa" w:w="2268"/>
          </w:tcPr>
          <w:p>
            <w:r>
              <w:rPr>
                <w:b w:val="0"/>
                <w:sz w:val="18"/>
              </w:rPr>
              <w:t>1 January 2030</w:t>
            </w:r>
          </w:p>
        </w:tc>
      </w:tr>
      <w:tr>
        <w:tc>
          <w:tcPr>
            <w:tcW w:type="dxa" w:w="7087"/>
          </w:tcPr>
          <w:p>
            <w:r>
              <w:rPr>
                <w:b w:val="0"/>
                <w:sz w:val="18"/>
              </w:rPr>
              <w:t>Minimisation of weight and volume (Art. 10(1))</w:t>
            </w:r>
          </w:p>
        </w:tc>
        <w:tc>
          <w:tcPr>
            <w:tcW w:type="dxa" w:w="2268"/>
          </w:tcPr>
          <w:p>
            <w:r>
              <w:rPr>
                <w:b w:val="0"/>
                <w:sz w:val="18"/>
              </w:rPr>
              <w:t>1 January 2030</w:t>
            </w:r>
          </w:p>
        </w:tc>
      </w:tr>
      <w:tr>
        <w:tc>
          <w:tcPr>
            <w:tcW w:type="dxa" w:w="7087"/>
          </w:tcPr>
          <w:p>
            <w:r>
              <w:rPr>
                <w:b w:val="0"/>
                <w:sz w:val="18"/>
              </w:rPr>
              <w:t>Recycled at scale (Art. 6)</w:t>
            </w:r>
          </w:p>
        </w:tc>
        <w:tc>
          <w:tcPr>
            <w:tcW w:type="dxa" w:w="2268"/>
          </w:tcPr>
          <w:p>
            <w:r>
              <w:rPr>
                <w:b w:val="0"/>
                <w:sz w:val="18"/>
              </w:rPr>
              <w:t>1 January 2035</w:t>
            </w:r>
          </w:p>
        </w:tc>
      </w:tr>
    </w:tbl>
    <w:p>
      <w:pPr>
        <w:spacing w:after="80" w:before="0"/>
      </w:pPr>
      <w:r>
        <w:rPr>
          <w:b w:val="0"/>
          <w:i/>
          <w:color w:val="636E72"/>
          <w:sz w:val="18"/>
        </w:rPr>
        <w:t>Dates from 2028 onward are floors: the Regulation ties them to "or [x] months after the entry into force of the relevant act, whichever is the later". Late delegated or implementing acts push them back.</w:t>
      </w:r>
    </w:p>
    <w:p>
      <w:pPr>
        <w:spacing w:after="40" w:before="120"/>
      </w:pPr>
      <w:r>
        <w:rPr>
          <w:b/>
          <w:i w:val="0"/>
        </w:rPr>
        <w:t>3. The technical file behind the declaration (Annex VII)</w:t>
      </w:r>
    </w:p>
    <w:p>
      <w:pPr>
        <w:spacing w:after="120" w:before="0"/>
      </w:pPr>
      <w:r>
        <w:rPr>
          <w:b w:val="0"/>
          <w:i w:val="0"/>
        </w:rPr>
        <w:t>The declaration is the visible page; the evidence sits in the Annex VII technical documentation: general description and intended use, drawings and material composition layer by layer, test reports (heavy metals, PFAS where relevant), standards and methods applied, results of the conformity assessment. It is not attached to the declaration but must be produced on request of a market surveillance authority.</w:t>
      </w:r>
    </w:p>
    <w:p>
      <w:pPr>
        <w:spacing w:after="40" w:before="120"/>
      </w:pPr>
      <w:r>
        <w:rPr>
          <w:b/>
          <w:i w:val="0"/>
        </w:rPr>
        <w:t>4. Language, retention, updates</w:t>
      </w:r>
    </w:p>
    <w:p>
      <w:pPr>
        <w:spacing w:after="120" w:before="0"/>
      </w:pPr>
      <w:r>
        <w:rPr>
          <w:b w:val="0"/>
          <w:i w:val="0"/>
        </w:rPr>
        <w:t>Language: drawn up in, or translated into, the language(s) required by the Member State where the packaging is placed on the market (Article 39(2)). Retention: 5 years for single-use packaging, 10 years for reusable packaging, from the day the packaging is placed on the market, for both the declaration and the technical file (Article 15(3)). Updates: the declaration must be continuously updated (Article 39(2)); a change of design, materials or standards means repeating the Article 38 assessment. No CE marking is affixed to packaging under the PPWR. Competent authorities check the accuracy of a share of declarations every year (Article 39(5)).</w:t>
      </w:r>
    </w:p>
    <w:p>
      <w:pPr>
        <w:spacing w:after="40" w:before="120"/>
      </w:pPr>
      <w:r>
        <w:rPr>
          <w:b/>
          <w:i w:val="0"/>
        </w:rPr>
        <w:t>5. Prefer it filled in for you?</w:t>
      </w:r>
    </w:p>
    <w:p>
      <w:pPr>
        <w:spacing w:after="120" w:before="0"/>
      </w:pPr>
      <w:r>
        <w:rPr>
          <w:b w:val="0"/>
          <w:i w:val="0"/>
        </w:rPr>
        <w:t>DPP-Tool generates the declaration pre-filled from a guided form, together with the Annex VII technical file index, ready to sign: dpp-tool.com/en/ppwr-doc/ (one-time 49 EUR incl. VAT). A completed example with fictitious data can be viewed free of charge from the same page.</w:t>
      </w:r>
    </w:p>
    <w:p>
      <w:pPr>
        <w:spacing w:after="80" w:before="0"/>
      </w:pPr>
      <w:r>
        <w:rPr>
          <w:b w:val="0"/>
          <w:i/>
          <w:color w:val="636E72"/>
          <w:sz w:val="18"/>
        </w:rPr>
        <w:t>Version 1.0, September 2026. This template is provided for information and does not constitute legal advice; the official text of Regulation (EU) 2025/40 prevails (ELI: http://data.europa.eu/eli/reg/2025/40/oj).</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36E72"/>
        <w:sz w:val="15"/>
      </w:rPr>
      <w:t>Template structured per Annex VIII of Regulation (EU) 2025/40 (PPWR). Guidance notes in grey italics are not part of the model and must be deleted before signing. Free template by DPP-Tool. Pre-filled version with the Annex VII technical file index: dpp-tool.com/en/ppwr-doc/</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PPWR Declaration of Conformity Template (Annex VIII, Regulation (EU) 2025/40)</dc:title>
  <dc:subject>EU declaration of conformity for packaging, model structure per Annex VIII PPWR, with guidance notes</dc:subject>
  <dc:creator>DPP-Tool</dc:creator>
  <cp:keywords>PPWR, declaration of conformity, Annex VIII, template, Regulation (EU) 2025/40, packaging</cp:keywords>
  <dc:description>generated by python-docx</dc:description>
  <cp:lastModifiedBy/>
  <cp:revision>1</cp:revision>
  <dcterms:created xsi:type="dcterms:W3CDTF">2013-12-23T23:15:00Z</dcterms:created>
  <dcterms:modified xsi:type="dcterms:W3CDTF">2013-12-23T23:15:00Z</dcterms:modified>
  <cp:category/>
</cp:coreProperties>
</file>